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5C" w:rsidRDefault="0049525C">
      <w:pPr>
        <w:pStyle w:val="CommentText"/>
        <w:rPr>
          <w:noProof/>
          <w:szCs w:val="24"/>
          <w:lang w:val="en-US"/>
        </w:rPr>
      </w:pPr>
    </w:p>
    <w:p w:rsidR="0049525C" w:rsidRDefault="0049525C">
      <w:pPr>
        <w:pStyle w:val="CommentText"/>
        <w:rPr>
          <w:noProof/>
          <w:szCs w:val="24"/>
          <w:lang w:val="en-US"/>
        </w:rPr>
      </w:pPr>
    </w:p>
    <w:p w:rsidR="00544A11" w:rsidRDefault="00F1682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74B47557" wp14:editId="4A068364">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33" w:rsidRDefault="00F1682D">
                            <w:r>
                              <w:rPr>
                                <w:noProof/>
                                <w:lang w:eastAsia="en-GB"/>
                              </w:rPr>
                              <w:drawing>
                                <wp:inline distT="0" distB="0" distL="0" distR="0" wp14:anchorId="3F4775FC" wp14:editId="338623DC">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61F33" w:rsidRDefault="00F1682D">
                      <w:r>
                        <w:rPr>
                          <w:noProof/>
                          <w:lang w:eastAsia="en-GB"/>
                        </w:rPr>
                        <w:drawing>
                          <wp:inline distT="0" distB="0" distL="0" distR="0" wp14:anchorId="3F4775FC" wp14:editId="338623DC">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v:textbox>
              </v:shape>
            </w:pict>
          </mc:Fallback>
        </mc:AlternateContent>
      </w:r>
    </w:p>
    <w:p w:rsidR="00544A11" w:rsidRDefault="00544A11">
      <w:pPr>
        <w:jc w:val="right"/>
        <w:rPr>
          <w:b/>
          <w:bCs/>
        </w:rPr>
      </w:pPr>
    </w:p>
    <w:p w:rsidR="00544A11" w:rsidRDefault="00544A11">
      <w:pPr>
        <w:jc w:val="right"/>
      </w:pPr>
    </w:p>
    <w:p w:rsidR="00544A11" w:rsidRDefault="00544A11">
      <w:pPr>
        <w:tabs>
          <w:tab w:val="left" w:pos="2160"/>
        </w:tabs>
        <w:rPr>
          <w:b/>
          <w:bCs/>
        </w:rPr>
      </w:pPr>
    </w:p>
    <w:p w:rsidR="00F858B1" w:rsidRDefault="00F858B1">
      <w:pPr>
        <w:tabs>
          <w:tab w:val="left" w:pos="2160"/>
        </w:tabs>
        <w:rPr>
          <w:b/>
          <w:bCs/>
        </w:rPr>
      </w:pPr>
    </w:p>
    <w:p w:rsidR="00544A11" w:rsidRDefault="00544A11">
      <w:pPr>
        <w:tabs>
          <w:tab w:val="left" w:pos="2160"/>
        </w:tabs>
        <w:rPr>
          <w:b/>
          <w:bCs/>
        </w:rPr>
      </w:pPr>
      <w:r>
        <w:rPr>
          <w:b/>
          <w:bCs/>
        </w:rPr>
        <w:t>To:</w:t>
      </w:r>
      <w:r w:rsidR="008A29B5">
        <w:rPr>
          <w:b/>
          <w:bCs/>
        </w:rPr>
        <w:t xml:space="preserve">  Council</w:t>
      </w:r>
      <w:r>
        <w:rPr>
          <w:b/>
          <w:bCs/>
        </w:rPr>
        <w:tab/>
      </w:r>
      <w:r>
        <w:rPr>
          <w:b/>
          <w:bCs/>
        </w:rPr>
        <w:tab/>
      </w:r>
      <w:r>
        <w:rPr>
          <w:b/>
          <w:bCs/>
        </w:rPr>
        <w:tab/>
      </w:r>
    </w:p>
    <w:p w:rsidR="00544A11" w:rsidRDefault="00544A11">
      <w:pPr>
        <w:rPr>
          <w:b/>
          <w:bCs/>
        </w:rPr>
      </w:pPr>
    </w:p>
    <w:p w:rsidR="00544A11" w:rsidRDefault="00544A11">
      <w:pPr>
        <w:tabs>
          <w:tab w:val="left" w:pos="2160"/>
          <w:tab w:val="left" w:pos="6300"/>
          <w:tab w:val="left" w:pos="7380"/>
        </w:tabs>
        <w:rPr>
          <w:b/>
          <w:bCs/>
        </w:rPr>
      </w:pPr>
      <w:r>
        <w:rPr>
          <w:b/>
          <w:bCs/>
        </w:rPr>
        <w:t>Date:</w:t>
      </w:r>
      <w:r w:rsidR="004F7A3D">
        <w:rPr>
          <w:b/>
          <w:bCs/>
        </w:rPr>
        <w:t xml:space="preserve"> </w:t>
      </w:r>
      <w:r w:rsidR="00175EC3">
        <w:rPr>
          <w:b/>
          <w:bCs/>
        </w:rPr>
        <w:t>20 July</w:t>
      </w:r>
      <w:r w:rsidR="004F7A3D">
        <w:rPr>
          <w:b/>
          <w:bCs/>
        </w:rPr>
        <w:t xml:space="preserve"> 2015</w:t>
      </w:r>
      <w:r>
        <w:rPr>
          <w:b/>
          <w:bCs/>
        </w:rPr>
        <w:tab/>
        <w:t xml:space="preserve">       </w:t>
      </w:r>
      <w:r>
        <w:rPr>
          <w:b/>
          <w:bCs/>
        </w:rPr>
        <w:tab/>
      </w:r>
    </w:p>
    <w:p w:rsidR="00544A11" w:rsidRDefault="00544A11">
      <w:pPr>
        <w:jc w:val="right"/>
        <w:rPr>
          <w:b/>
          <w:bCs/>
        </w:rPr>
      </w:pPr>
    </w:p>
    <w:p w:rsidR="00544A11" w:rsidRDefault="00544A11">
      <w:pPr>
        <w:rPr>
          <w:b/>
          <w:bCs/>
        </w:rPr>
      </w:pPr>
      <w:r>
        <w:rPr>
          <w:b/>
          <w:bCs/>
        </w:rPr>
        <w:t>Report of:</w:t>
      </w:r>
      <w:r w:rsidR="008A29B5">
        <w:rPr>
          <w:b/>
          <w:bCs/>
        </w:rPr>
        <w:t xml:space="preserve">  </w:t>
      </w:r>
      <w:r w:rsidR="00A534FF">
        <w:rPr>
          <w:b/>
          <w:bCs/>
        </w:rPr>
        <w:t>Head of Business Improvement</w:t>
      </w:r>
      <w:r>
        <w:rPr>
          <w:b/>
          <w:bCs/>
        </w:rPr>
        <w:tab/>
      </w:r>
    </w:p>
    <w:p w:rsidR="00544A11" w:rsidRDefault="00544A11">
      <w:pPr>
        <w:tabs>
          <w:tab w:val="left" w:pos="2160"/>
        </w:tabs>
        <w:rPr>
          <w:b/>
          <w:bCs/>
        </w:rPr>
      </w:pPr>
    </w:p>
    <w:p w:rsidR="00544A11" w:rsidRDefault="00544A11">
      <w:pPr>
        <w:tabs>
          <w:tab w:val="left" w:pos="2160"/>
        </w:tabs>
        <w:rPr>
          <w:b/>
          <w:bCs/>
        </w:rPr>
      </w:pPr>
      <w:r>
        <w:rPr>
          <w:b/>
          <w:bCs/>
        </w:rPr>
        <w:t>Title of Report:</w:t>
      </w:r>
      <w:r w:rsidR="00F858B1">
        <w:rPr>
          <w:b/>
          <w:bCs/>
        </w:rPr>
        <w:t xml:space="preserve"> </w:t>
      </w:r>
      <w:r w:rsidR="00A534FF">
        <w:rPr>
          <w:b/>
          <w:bCs/>
        </w:rPr>
        <w:t>Arrangements for disciplinary action against</w:t>
      </w:r>
      <w:r w:rsidR="00F858B1">
        <w:rPr>
          <w:b/>
          <w:bCs/>
        </w:rPr>
        <w:t xml:space="preserve"> Statutory Officers</w:t>
      </w:r>
      <w:r>
        <w:rPr>
          <w:b/>
          <w:bCs/>
        </w:rPr>
        <w:tab/>
      </w:r>
      <w:r>
        <w:rPr>
          <w:b/>
          <w:bCs/>
        </w:rPr>
        <w:tab/>
      </w:r>
    </w:p>
    <w:p w:rsidR="00544A11" w:rsidRDefault="00544A11">
      <w:pPr>
        <w:pStyle w:val="Heading1"/>
        <w:jc w:val="center"/>
        <w:rPr>
          <w:u w:val="single"/>
        </w:rPr>
      </w:pPr>
    </w:p>
    <w:p w:rsidR="00B261B5" w:rsidRDefault="00B261B5" w:rsidP="000A3296">
      <w:pPr>
        <w:pStyle w:val="Heading1"/>
        <w:pBdr>
          <w:top w:val="single" w:sz="4" w:space="1" w:color="auto"/>
          <w:left w:val="single" w:sz="4" w:space="4" w:color="auto"/>
          <w:bottom w:val="single" w:sz="4" w:space="1" w:color="auto"/>
          <w:right w:val="single" w:sz="4" w:space="0" w:color="auto"/>
        </w:pBdr>
        <w:jc w:val="center"/>
        <w:rPr>
          <w:u w:val="single"/>
        </w:rPr>
      </w:pPr>
    </w:p>
    <w:p w:rsidR="00544A11" w:rsidRDefault="00544A11" w:rsidP="000A3296">
      <w:pPr>
        <w:pStyle w:val="Heading1"/>
        <w:pBdr>
          <w:top w:val="single" w:sz="4" w:space="1" w:color="auto"/>
          <w:left w:val="single" w:sz="4" w:space="4" w:color="auto"/>
          <w:bottom w:val="single" w:sz="4" w:space="1" w:color="auto"/>
          <w:right w:val="single" w:sz="4" w:space="0" w:color="auto"/>
        </w:pBdr>
        <w:jc w:val="center"/>
        <w:rPr>
          <w:u w:val="single"/>
        </w:rPr>
      </w:pPr>
      <w:r>
        <w:rPr>
          <w:u w:val="single"/>
        </w:rPr>
        <w:t>Summary and Recommendations</w:t>
      </w:r>
    </w:p>
    <w:p w:rsidR="00544A11" w:rsidRDefault="00544A11" w:rsidP="000A3296">
      <w:pPr>
        <w:pBdr>
          <w:top w:val="single" w:sz="4" w:space="1" w:color="auto"/>
          <w:left w:val="single" w:sz="4" w:space="4" w:color="auto"/>
          <w:bottom w:val="single" w:sz="4" w:space="1" w:color="auto"/>
          <w:right w:val="single" w:sz="4" w:space="0" w:color="auto"/>
        </w:pBdr>
      </w:pPr>
    </w:p>
    <w:p w:rsidR="008507A2" w:rsidRDefault="00544A11" w:rsidP="000A3296">
      <w:pPr>
        <w:pBdr>
          <w:top w:val="single" w:sz="4" w:space="1" w:color="auto"/>
          <w:left w:val="single" w:sz="4" w:space="4" w:color="auto"/>
          <w:bottom w:val="single" w:sz="4" w:space="1" w:color="auto"/>
          <w:right w:val="single" w:sz="4" w:space="0" w:color="auto"/>
        </w:pBdr>
      </w:pPr>
      <w:r>
        <w:rPr>
          <w:b/>
          <w:bCs/>
        </w:rPr>
        <w:t>Purpose of report</w:t>
      </w:r>
      <w:r>
        <w:t xml:space="preserve">:  </w:t>
      </w:r>
      <w:r w:rsidR="00C22F72">
        <w:t>This report recommends</w:t>
      </w:r>
      <w:r w:rsidR="00F858B1">
        <w:t xml:space="preserve"> </w:t>
      </w:r>
      <w:r w:rsidR="00A534FF">
        <w:t xml:space="preserve">that the contractual arrangements for disciplinary action against the statutory officers are not changed by the </w:t>
      </w:r>
      <w:r w:rsidR="00F858B1">
        <w:t>new statutory provisions set out in the Local Authorities (Standing Orders</w:t>
      </w:r>
      <w:proofErr w:type="gramStart"/>
      <w:r w:rsidR="00F858B1">
        <w:t>)(</w:t>
      </w:r>
      <w:proofErr w:type="gramEnd"/>
      <w:r w:rsidR="00F858B1">
        <w:t xml:space="preserve">England)(Amendment) Regulations </w:t>
      </w:r>
      <w:r w:rsidR="004852FA">
        <w:t xml:space="preserve">(“the Regulations”) </w:t>
      </w:r>
      <w:r w:rsidR="00F858B1">
        <w:t>which came into effect on 11</w:t>
      </w:r>
      <w:r w:rsidR="00F858B1" w:rsidRPr="00F858B1">
        <w:rPr>
          <w:vertAlign w:val="superscript"/>
        </w:rPr>
        <w:t>th</w:t>
      </w:r>
      <w:r w:rsidR="00F858B1">
        <w:t xml:space="preserve"> May 2015.</w:t>
      </w:r>
    </w:p>
    <w:p w:rsidR="00544A11" w:rsidRDefault="00544A11" w:rsidP="008507A2">
      <w:pPr>
        <w:pBdr>
          <w:top w:val="single" w:sz="4" w:space="1" w:color="auto"/>
          <w:left w:val="single" w:sz="4" w:space="4" w:color="auto"/>
          <w:bottom w:val="single" w:sz="4" w:space="1" w:color="auto"/>
          <w:right w:val="single" w:sz="4" w:space="0" w:color="auto"/>
        </w:pBdr>
      </w:pPr>
    </w:p>
    <w:p w:rsidR="00544A11" w:rsidRDefault="00544A11" w:rsidP="000A3296">
      <w:pPr>
        <w:pBdr>
          <w:top w:val="single" w:sz="4" w:space="1" w:color="auto"/>
          <w:left w:val="single" w:sz="4" w:space="4" w:color="auto"/>
          <w:bottom w:val="single" w:sz="4" w:space="1" w:color="auto"/>
          <w:right w:val="single" w:sz="4" w:space="0" w:color="auto"/>
        </w:pBdr>
        <w:rPr>
          <w:b/>
          <w:bCs/>
        </w:rPr>
      </w:pPr>
      <w:r>
        <w:rPr>
          <w:b/>
          <w:bCs/>
        </w:rPr>
        <w:t xml:space="preserve">Policy Framework: </w:t>
      </w:r>
      <w:r w:rsidR="008507A2">
        <w:rPr>
          <w:bCs/>
        </w:rPr>
        <w:t>N/A</w:t>
      </w:r>
    </w:p>
    <w:p w:rsidR="00544A11" w:rsidRDefault="00544A11" w:rsidP="000A3296">
      <w:pPr>
        <w:pStyle w:val="Heading1"/>
        <w:pBdr>
          <w:top w:val="single" w:sz="4" w:space="1" w:color="auto"/>
          <w:left w:val="single" w:sz="4" w:space="4" w:color="auto"/>
          <w:bottom w:val="single" w:sz="4" w:space="1" w:color="auto"/>
          <w:right w:val="single" w:sz="4" w:space="0" w:color="auto"/>
        </w:pBdr>
      </w:pPr>
    </w:p>
    <w:p w:rsidR="001E664C" w:rsidRDefault="0049525C" w:rsidP="00A534FF">
      <w:pPr>
        <w:pBdr>
          <w:top w:val="single" w:sz="4" w:space="1" w:color="auto"/>
          <w:left w:val="single" w:sz="4" w:space="4" w:color="auto"/>
          <w:bottom w:val="single" w:sz="4" w:space="1" w:color="auto"/>
          <w:right w:val="single" w:sz="4" w:space="0" w:color="auto"/>
        </w:pBdr>
        <w:tabs>
          <w:tab w:val="left" w:pos="3048"/>
        </w:tabs>
      </w:pPr>
      <w:r>
        <w:rPr>
          <w:b/>
        </w:rPr>
        <w:t>Recommendations</w:t>
      </w:r>
      <w:r w:rsidR="00C22F72">
        <w:rPr>
          <w:b/>
        </w:rPr>
        <w:t xml:space="preserve">: </w:t>
      </w:r>
      <w:bookmarkStart w:id="0" w:name="_GoBack"/>
      <w:r w:rsidR="00C22F72" w:rsidRPr="00C22F72">
        <w:t>Council is RECOMMENDED</w:t>
      </w:r>
      <w:r w:rsidR="00A534FF">
        <w:t xml:space="preserve"> to agree</w:t>
      </w:r>
      <w:r w:rsidR="001E664C">
        <w:t>:-</w:t>
      </w:r>
    </w:p>
    <w:p w:rsidR="00B261B5" w:rsidRDefault="001E664C" w:rsidP="00A534FF">
      <w:pPr>
        <w:pBdr>
          <w:top w:val="single" w:sz="4" w:space="1" w:color="auto"/>
          <w:left w:val="single" w:sz="4" w:space="4" w:color="auto"/>
          <w:bottom w:val="single" w:sz="4" w:space="1" w:color="auto"/>
          <w:right w:val="single" w:sz="4" w:space="0" w:color="auto"/>
        </w:pBdr>
        <w:tabs>
          <w:tab w:val="left" w:pos="3048"/>
        </w:tabs>
      </w:pPr>
      <w:r>
        <w:t>1.</w:t>
      </w:r>
      <w:r w:rsidR="00A534FF">
        <w:t xml:space="preserve"> </w:t>
      </w:r>
      <w:proofErr w:type="gramStart"/>
      <w:r w:rsidR="00A534FF">
        <w:t>that</w:t>
      </w:r>
      <w:proofErr w:type="gramEnd"/>
      <w:r w:rsidR="00A534FF">
        <w:t xml:space="preserve"> contractual arrangements</w:t>
      </w:r>
      <w:r w:rsidR="008E4FCE">
        <w:t xml:space="preserve"> are made</w:t>
      </w:r>
      <w:r w:rsidR="00A534FF">
        <w:t xml:space="preserve"> in respect of an Independent Person to investigate any allegations of a disciplinary nature against the Statutory Officers</w:t>
      </w:r>
      <w:r>
        <w:t>; and</w:t>
      </w:r>
    </w:p>
    <w:p w:rsidR="001E664C" w:rsidRDefault="001E664C" w:rsidP="00A534FF">
      <w:pPr>
        <w:pBdr>
          <w:top w:val="single" w:sz="4" w:space="1" w:color="auto"/>
          <w:left w:val="single" w:sz="4" w:space="4" w:color="auto"/>
          <w:bottom w:val="single" w:sz="4" w:space="1" w:color="auto"/>
          <w:right w:val="single" w:sz="4" w:space="0" w:color="auto"/>
        </w:pBdr>
        <w:tabs>
          <w:tab w:val="left" w:pos="3048"/>
        </w:tabs>
      </w:pPr>
      <w:r>
        <w:t xml:space="preserve">2. </w:t>
      </w:r>
      <w:proofErr w:type="gramStart"/>
      <w:r>
        <w:t>delegate</w:t>
      </w:r>
      <w:proofErr w:type="gramEnd"/>
      <w:r>
        <w:t xml:space="preserve"> authority to the Head of Law and Governance to make the necessary amendments to the</w:t>
      </w:r>
      <w:r w:rsidR="008E4FCE">
        <w:t xml:space="preserve"> Constitution</w:t>
      </w:r>
      <w:r>
        <w:t>.</w:t>
      </w:r>
    </w:p>
    <w:bookmarkEnd w:id="0"/>
    <w:p w:rsidR="00A534FF" w:rsidRDefault="00A534FF" w:rsidP="00A534FF">
      <w:pPr>
        <w:pBdr>
          <w:top w:val="single" w:sz="4" w:space="1" w:color="auto"/>
          <w:left w:val="single" w:sz="4" w:space="4" w:color="auto"/>
          <w:bottom w:val="single" w:sz="4" w:space="1" w:color="auto"/>
          <w:right w:val="single" w:sz="4" w:space="0" w:color="auto"/>
        </w:pBdr>
        <w:tabs>
          <w:tab w:val="left" w:pos="3048"/>
        </w:tabs>
      </w:pPr>
    </w:p>
    <w:p w:rsidR="00B261B5" w:rsidRDefault="00B261B5"/>
    <w:p w:rsidR="00544A11" w:rsidRPr="00544A11" w:rsidRDefault="00BF2CCD">
      <w:pPr>
        <w:rPr>
          <w:b/>
          <w:u w:val="single"/>
        </w:rPr>
      </w:pPr>
      <w:r>
        <w:rPr>
          <w:b/>
          <w:u w:val="single"/>
        </w:rPr>
        <w:t>Background</w:t>
      </w:r>
    </w:p>
    <w:p w:rsidR="00544A11" w:rsidRDefault="00544A11"/>
    <w:p w:rsidR="00B57D36" w:rsidRPr="001E664C" w:rsidRDefault="004852FA" w:rsidP="00B57D36">
      <w:pPr>
        <w:pStyle w:val="ListParagraph"/>
        <w:numPr>
          <w:ilvl w:val="0"/>
          <w:numId w:val="14"/>
        </w:numPr>
        <w:tabs>
          <w:tab w:val="left" w:pos="2694"/>
        </w:tabs>
        <w:ind w:left="567" w:hanging="567"/>
      </w:pPr>
      <w:r>
        <w:t xml:space="preserve">Special </w:t>
      </w:r>
      <w:r w:rsidR="00EB6D9B">
        <w:t xml:space="preserve">statutory </w:t>
      </w:r>
      <w:r>
        <w:t xml:space="preserve">arrangements for disciplinary action </w:t>
      </w:r>
      <w:r w:rsidR="00EB6D9B">
        <w:t>against the</w:t>
      </w:r>
      <w:r>
        <w:t xml:space="preserve"> Council’s statutory officers have been in place for some years in recognition of the sensitivity of their roles in a political environment. </w:t>
      </w:r>
      <w:r w:rsidR="00B57D36">
        <w:t xml:space="preserve">The current legislation provides that </w:t>
      </w:r>
      <w:r w:rsidR="00B57D36">
        <w:rPr>
          <w:rFonts w:cs="Arial"/>
          <w:lang w:val="en"/>
        </w:rPr>
        <w:t>no disciplinary action in respect of a “</w:t>
      </w:r>
      <w:r w:rsidR="00B57D36" w:rsidRPr="00B57D36">
        <w:rPr>
          <w:rFonts w:cs="Arial"/>
          <w:lang w:val="en"/>
        </w:rPr>
        <w:t>protected officer</w:t>
      </w:r>
      <w:r w:rsidR="00B57D36">
        <w:rPr>
          <w:rFonts w:cs="Arial"/>
          <w:lang w:val="en"/>
        </w:rPr>
        <w:t>”</w:t>
      </w:r>
      <w:r w:rsidR="00B57D36" w:rsidRPr="00B57D36">
        <w:rPr>
          <w:rFonts w:cs="Arial"/>
          <w:lang w:val="en"/>
        </w:rPr>
        <w:t xml:space="preserve"> (Head </w:t>
      </w:r>
      <w:r>
        <w:rPr>
          <w:rFonts w:cs="Arial"/>
          <w:lang w:val="en"/>
        </w:rPr>
        <w:t>of</w:t>
      </w:r>
      <w:r w:rsidR="00B57D36">
        <w:rPr>
          <w:rFonts w:cs="Arial"/>
          <w:lang w:val="en"/>
        </w:rPr>
        <w:t xml:space="preserve"> </w:t>
      </w:r>
      <w:r w:rsidR="00B57D36" w:rsidRPr="00B57D36">
        <w:rPr>
          <w:rFonts w:cs="Arial"/>
          <w:lang w:val="en"/>
        </w:rPr>
        <w:t>Paid Service, Monitoring Officer or Chief Finance Officer) can take place other than in accordance with a recommendation in a report by a Desig</w:t>
      </w:r>
      <w:r w:rsidR="00702678">
        <w:rPr>
          <w:rFonts w:cs="Arial"/>
          <w:lang w:val="en"/>
        </w:rPr>
        <w:t>nated Independent Person (DIP)</w:t>
      </w:r>
      <w:r w:rsidR="00872003">
        <w:rPr>
          <w:rFonts w:cs="Arial"/>
          <w:lang w:val="en"/>
        </w:rPr>
        <w:t xml:space="preserve"> following an investigat</w:t>
      </w:r>
      <w:r w:rsidR="004D74AF">
        <w:rPr>
          <w:rFonts w:cs="Arial"/>
          <w:lang w:val="en"/>
        </w:rPr>
        <w:t>ion by the DIP</w:t>
      </w:r>
      <w:r w:rsidR="00702678">
        <w:rPr>
          <w:rFonts w:cs="Arial"/>
          <w:lang w:val="en"/>
        </w:rPr>
        <w:t>.</w:t>
      </w:r>
    </w:p>
    <w:p w:rsidR="001E664C" w:rsidRPr="001E664C" w:rsidRDefault="001E664C" w:rsidP="001E664C">
      <w:pPr>
        <w:tabs>
          <w:tab w:val="left" w:pos="2694"/>
        </w:tabs>
      </w:pPr>
    </w:p>
    <w:p w:rsidR="001E664C" w:rsidRDefault="001E664C" w:rsidP="00B57D36">
      <w:pPr>
        <w:pStyle w:val="ListParagraph"/>
        <w:numPr>
          <w:ilvl w:val="0"/>
          <w:numId w:val="14"/>
        </w:numPr>
        <w:tabs>
          <w:tab w:val="left" w:pos="2694"/>
        </w:tabs>
        <w:ind w:left="567" w:hanging="567"/>
      </w:pPr>
      <w:r>
        <w:t>This is reflected in the Council’s Constitution which provides (at Para 20.4) “The Chief Executive, Chief Finance Officer and Monitoring Officer can only be disciplined if an investigator recommends it”.</w:t>
      </w:r>
    </w:p>
    <w:p w:rsidR="00B57D36" w:rsidRDefault="00B57D36" w:rsidP="00B57D36">
      <w:pPr>
        <w:tabs>
          <w:tab w:val="left" w:pos="2694"/>
        </w:tabs>
      </w:pPr>
    </w:p>
    <w:p w:rsidR="004D74AF" w:rsidRDefault="00B57D36" w:rsidP="004D74AF">
      <w:pPr>
        <w:pStyle w:val="ListParagraph"/>
        <w:numPr>
          <w:ilvl w:val="0"/>
          <w:numId w:val="14"/>
        </w:numPr>
        <w:tabs>
          <w:tab w:val="left" w:pos="2694"/>
        </w:tabs>
        <w:ind w:left="567" w:hanging="567"/>
      </w:pPr>
      <w:r>
        <w:t>The Local Authorities (Standing Orders) (England) (Amendment) Regulations (the Regulations) were made on 25 March 2015 and came into force on 11 May 2015.</w:t>
      </w:r>
      <w:r w:rsidR="00EB6D9B">
        <w:t xml:space="preserve"> These regulations change the statutory protection afforded to these officers.</w:t>
      </w:r>
      <w:r w:rsidR="004D74AF">
        <w:t xml:space="preserve"> In future dismissal of a statutory officer cannot take place until Independent Persons have been consulted and the Council has considered the matter.</w:t>
      </w:r>
    </w:p>
    <w:p w:rsidR="00A534FF" w:rsidRDefault="00A534FF" w:rsidP="004D74AF">
      <w:pPr>
        <w:tabs>
          <w:tab w:val="left" w:pos="2694"/>
        </w:tabs>
      </w:pPr>
    </w:p>
    <w:p w:rsidR="00B0576B" w:rsidRDefault="00B57D36" w:rsidP="00E76775">
      <w:pPr>
        <w:pStyle w:val="ListParagraph"/>
        <w:numPr>
          <w:ilvl w:val="0"/>
          <w:numId w:val="14"/>
        </w:numPr>
        <w:ind w:left="567" w:hanging="578"/>
      </w:pPr>
      <w:r>
        <w:t>The Council is required to incorporate the requirements of the Regulations into its standing orders (the Officer Employment Rules</w:t>
      </w:r>
      <w:r w:rsidR="00EB6D9B">
        <w:t xml:space="preserve"> within the Constitution</w:t>
      </w:r>
      <w:r>
        <w:t xml:space="preserve">) at the first ordinary meeting of the Council after 11th May 2015. In </w:t>
      </w:r>
      <w:r w:rsidR="00E76775">
        <w:t>Oxford</w:t>
      </w:r>
      <w:r>
        <w:t>’s case this means that in order to comply with the Regulations these amendments will need to be made at the Council meeting on 20</w:t>
      </w:r>
      <w:r w:rsidR="00E76775" w:rsidRPr="00E76775">
        <w:rPr>
          <w:vertAlign w:val="superscript"/>
        </w:rPr>
        <w:t>th</w:t>
      </w:r>
      <w:r w:rsidR="00E76775">
        <w:t xml:space="preserve"> July</w:t>
      </w:r>
      <w:r>
        <w:t xml:space="preserve"> 2015.</w:t>
      </w:r>
      <w:r w:rsidR="004D74AF">
        <w:t xml:space="preserve"> A report appears elsewhere on the agenda.</w:t>
      </w:r>
    </w:p>
    <w:p w:rsidR="00E76775" w:rsidRPr="00A534FF" w:rsidRDefault="00E76775" w:rsidP="00A534FF">
      <w:pPr>
        <w:pStyle w:val="Default"/>
        <w:rPr>
          <w:b/>
          <w:bCs/>
          <w:u w:val="single"/>
        </w:rPr>
      </w:pPr>
    </w:p>
    <w:p w:rsidR="00B261B5" w:rsidRPr="00B261B5" w:rsidRDefault="00872003" w:rsidP="00E76775">
      <w:pPr>
        <w:pStyle w:val="Default"/>
        <w:spacing w:after="53"/>
        <w:rPr>
          <w:b/>
          <w:u w:val="single"/>
        </w:rPr>
      </w:pPr>
      <w:r>
        <w:rPr>
          <w:b/>
          <w:u w:val="single"/>
        </w:rPr>
        <w:t>Proposal</w:t>
      </w:r>
    </w:p>
    <w:p w:rsidR="00872003" w:rsidRDefault="00872003" w:rsidP="00F86B84">
      <w:pPr>
        <w:pStyle w:val="Default"/>
        <w:ind w:left="567" w:hanging="567"/>
      </w:pPr>
    </w:p>
    <w:p w:rsidR="00F86B84" w:rsidRPr="00F86B84" w:rsidRDefault="00CE6DEA" w:rsidP="00F86B84">
      <w:pPr>
        <w:pStyle w:val="Default"/>
        <w:ind w:left="567" w:hanging="567"/>
      </w:pPr>
      <w:r>
        <w:t>1</w:t>
      </w:r>
      <w:r w:rsidR="004852FA">
        <w:t>2</w:t>
      </w:r>
      <w:r w:rsidR="00EA5645" w:rsidRPr="00EA5645">
        <w:t>.</w:t>
      </w:r>
      <w:r w:rsidR="00EA5645" w:rsidRPr="00EA5645">
        <w:tab/>
      </w:r>
      <w:r w:rsidR="008E4FCE">
        <w:t>It is proposed that contractual provision is made in the terms and conditions of employment for the Chief Executive, Chief Finance Officer and the Monitoring Officer for the appointment of an independent person to investigate any allegations of a disciplinary nature against them.</w:t>
      </w:r>
    </w:p>
    <w:p w:rsidR="005B58BB" w:rsidRDefault="005B58BB" w:rsidP="008E4FCE"/>
    <w:p w:rsidR="00D42B97" w:rsidRDefault="00D42B97" w:rsidP="00EA5645">
      <w:pPr>
        <w:ind w:left="567" w:hanging="567"/>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544A11" w:rsidTr="00544A11">
        <w:tc>
          <w:tcPr>
            <w:tcW w:w="8522" w:type="dxa"/>
          </w:tcPr>
          <w:p w:rsidR="00544A11" w:rsidRDefault="00544A11" w:rsidP="00544A11">
            <w:pPr>
              <w:tabs>
                <w:tab w:val="left" w:pos="720"/>
                <w:tab w:val="left" w:pos="1440"/>
                <w:tab w:val="left" w:pos="2160"/>
                <w:tab w:val="left" w:pos="2880"/>
              </w:tabs>
            </w:pPr>
            <w:r>
              <w:rPr>
                <w:b/>
                <w:bCs/>
              </w:rPr>
              <w:t>Name and contact details of author:-</w:t>
            </w:r>
          </w:p>
        </w:tc>
      </w:tr>
      <w:tr w:rsidR="00544A11" w:rsidTr="00544A11">
        <w:tc>
          <w:tcPr>
            <w:tcW w:w="8522" w:type="dxa"/>
          </w:tcPr>
          <w:p w:rsidR="00544A11" w:rsidRDefault="00544A11" w:rsidP="00544A11">
            <w:pPr>
              <w:tabs>
                <w:tab w:val="left" w:pos="720"/>
                <w:tab w:val="left" w:pos="1440"/>
                <w:tab w:val="left" w:pos="2160"/>
                <w:tab w:val="left" w:pos="2880"/>
              </w:tabs>
            </w:pPr>
          </w:p>
        </w:tc>
      </w:tr>
      <w:tr w:rsidR="00544A11" w:rsidTr="00544A11">
        <w:tc>
          <w:tcPr>
            <w:tcW w:w="8522" w:type="dxa"/>
          </w:tcPr>
          <w:p w:rsidR="00544A11" w:rsidRDefault="00C22F72" w:rsidP="00544A11">
            <w:pPr>
              <w:tabs>
                <w:tab w:val="left" w:pos="720"/>
                <w:tab w:val="left" w:pos="1440"/>
                <w:tab w:val="left" w:pos="2160"/>
                <w:tab w:val="left" w:pos="2880"/>
              </w:tabs>
            </w:pPr>
            <w:r>
              <w:t>Emma Griffiths</w:t>
            </w:r>
          </w:p>
        </w:tc>
      </w:tr>
      <w:tr w:rsidR="00544A11" w:rsidTr="00544A11">
        <w:tc>
          <w:tcPr>
            <w:tcW w:w="8522" w:type="dxa"/>
          </w:tcPr>
          <w:p w:rsidR="00C22F72" w:rsidRDefault="00C22F72" w:rsidP="00544A11">
            <w:pPr>
              <w:tabs>
                <w:tab w:val="left" w:pos="720"/>
                <w:tab w:val="left" w:pos="1440"/>
                <w:tab w:val="left" w:pos="2160"/>
                <w:tab w:val="left" w:pos="2880"/>
              </w:tabs>
            </w:pPr>
            <w:r>
              <w:t>Supervising Lawyer</w:t>
            </w:r>
          </w:p>
          <w:p w:rsidR="00544A11" w:rsidRDefault="00C22F72" w:rsidP="00C22F72">
            <w:pPr>
              <w:tabs>
                <w:tab w:val="left" w:pos="720"/>
                <w:tab w:val="left" w:pos="1440"/>
                <w:tab w:val="left" w:pos="2160"/>
                <w:tab w:val="left" w:pos="2880"/>
              </w:tabs>
            </w:pPr>
            <w:r>
              <w:t xml:space="preserve">Law &amp; Governance </w:t>
            </w:r>
          </w:p>
        </w:tc>
      </w:tr>
      <w:tr w:rsidR="00544A11" w:rsidTr="00544A11">
        <w:tc>
          <w:tcPr>
            <w:tcW w:w="8522" w:type="dxa"/>
          </w:tcPr>
          <w:p w:rsidR="00544A11" w:rsidRDefault="00C22F72" w:rsidP="00544A11">
            <w:pPr>
              <w:tabs>
                <w:tab w:val="left" w:pos="720"/>
                <w:tab w:val="left" w:pos="1440"/>
                <w:tab w:val="left" w:pos="2160"/>
                <w:tab w:val="left" w:pos="2880"/>
              </w:tabs>
            </w:pPr>
            <w:r>
              <w:t>Tel:  01865 252208</w:t>
            </w:r>
            <w:r w:rsidR="00544A11">
              <w:t xml:space="preserve"> </w:t>
            </w:r>
          </w:p>
          <w:p w:rsidR="00544A11" w:rsidRDefault="00544A11" w:rsidP="00C22F72">
            <w:pPr>
              <w:tabs>
                <w:tab w:val="left" w:pos="720"/>
                <w:tab w:val="left" w:pos="1440"/>
                <w:tab w:val="left" w:pos="2160"/>
                <w:tab w:val="left" w:pos="2880"/>
              </w:tabs>
              <w:rPr>
                <w:color w:val="0000FF"/>
                <w:u w:val="single"/>
              </w:rPr>
            </w:pPr>
            <w:r>
              <w:t xml:space="preserve"> e-mail:  </w:t>
            </w:r>
            <w:r w:rsidR="00C22F72">
              <w:rPr>
                <w:color w:val="0000FF"/>
                <w:u w:val="single"/>
              </w:rPr>
              <w:t>egriffiths@oxford.gov.uk</w:t>
            </w:r>
          </w:p>
        </w:tc>
      </w:tr>
    </w:tbl>
    <w:p w:rsidR="00544A11" w:rsidRDefault="00544A11" w:rsidP="00544A11">
      <w:pPr>
        <w:rPr>
          <w:b/>
          <w:bCs/>
        </w:rPr>
      </w:pPr>
    </w:p>
    <w:p w:rsidR="00544A11" w:rsidRDefault="00544A11" w:rsidP="00544A11">
      <w:pPr>
        <w:rPr>
          <w:b/>
          <w:bCs/>
        </w:rPr>
      </w:pPr>
      <w:r>
        <w:rPr>
          <w:b/>
          <w:bCs/>
        </w:rPr>
        <w:t>Background papers: none</w:t>
      </w:r>
    </w:p>
    <w:p w:rsidR="00544A11" w:rsidRDefault="00544A11"/>
    <w:sectPr w:rsidR="00544A11" w:rsidSect="0049525C">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D2" w:rsidRDefault="003462D2">
      <w:r>
        <w:separator/>
      </w:r>
    </w:p>
  </w:endnote>
  <w:endnote w:type="continuationSeparator" w:id="0">
    <w:p w:rsidR="003462D2" w:rsidRDefault="0034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33" w:rsidRDefault="00961F33">
    <w:pPr>
      <w:rPr>
        <w:sz w:val="20"/>
      </w:rPr>
    </w:pPr>
  </w:p>
  <w:p w:rsidR="00961F33" w:rsidRDefault="00961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D2" w:rsidRDefault="003462D2">
      <w:r>
        <w:separator/>
      </w:r>
    </w:p>
  </w:footnote>
  <w:footnote w:type="continuationSeparator" w:id="0">
    <w:p w:rsidR="003462D2" w:rsidRDefault="0034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941"/>
    <w:multiLevelType w:val="hybridMultilevel"/>
    <w:tmpl w:val="F444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1B5990"/>
    <w:multiLevelType w:val="hybridMultilevel"/>
    <w:tmpl w:val="2DE4F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9D3B20"/>
    <w:multiLevelType w:val="hybridMultilevel"/>
    <w:tmpl w:val="1484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91857"/>
    <w:multiLevelType w:val="hybridMultilevel"/>
    <w:tmpl w:val="D9948AB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4A2AE6"/>
    <w:multiLevelType w:val="hybridMultilevel"/>
    <w:tmpl w:val="E7B0C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8F28FE"/>
    <w:multiLevelType w:val="hybridMultilevel"/>
    <w:tmpl w:val="BAEA157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454F1975"/>
    <w:multiLevelType w:val="hybridMultilevel"/>
    <w:tmpl w:val="B0E6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BCC27AC"/>
    <w:multiLevelType w:val="hybridMultilevel"/>
    <w:tmpl w:val="3600F49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8">
    <w:nsid w:val="4F3C73C3"/>
    <w:multiLevelType w:val="hybridMultilevel"/>
    <w:tmpl w:val="B3CE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4E586F"/>
    <w:multiLevelType w:val="hybridMultilevel"/>
    <w:tmpl w:val="540A8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057DCD"/>
    <w:multiLevelType w:val="hybridMultilevel"/>
    <w:tmpl w:val="84F6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BF10C1"/>
    <w:multiLevelType w:val="hybridMultilevel"/>
    <w:tmpl w:val="D8280A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74BE7B36"/>
    <w:multiLevelType w:val="hybridMultilevel"/>
    <w:tmpl w:val="06007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787639"/>
    <w:multiLevelType w:val="hybridMultilevel"/>
    <w:tmpl w:val="9108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D80AA8"/>
    <w:multiLevelType w:val="hybridMultilevel"/>
    <w:tmpl w:val="48322E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5"/>
  </w:num>
  <w:num w:numId="4">
    <w:abstractNumId w:val="14"/>
  </w:num>
  <w:num w:numId="5">
    <w:abstractNumId w:val="11"/>
  </w:num>
  <w:num w:numId="6">
    <w:abstractNumId w:val="6"/>
  </w:num>
  <w:num w:numId="7">
    <w:abstractNumId w:val="6"/>
  </w:num>
  <w:num w:numId="8">
    <w:abstractNumId w:val="8"/>
  </w:num>
  <w:num w:numId="9">
    <w:abstractNumId w:val="10"/>
  </w:num>
  <w:num w:numId="10">
    <w:abstractNumId w:val="13"/>
  </w:num>
  <w:num w:numId="11">
    <w:abstractNumId w:val="0"/>
  </w:num>
  <w:num w:numId="12">
    <w:abstractNumId w:val="0"/>
  </w:num>
  <w:num w:numId="13">
    <w:abstractNumId w:val="7"/>
  </w:num>
  <w:num w:numId="14">
    <w:abstractNumId w:val="9"/>
  </w:num>
  <w:num w:numId="15">
    <w:abstractNumId w:val="12"/>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1D"/>
    <w:rsid w:val="0001673E"/>
    <w:rsid w:val="00025A2E"/>
    <w:rsid w:val="00061FDD"/>
    <w:rsid w:val="00066F20"/>
    <w:rsid w:val="00070D77"/>
    <w:rsid w:val="000A3296"/>
    <w:rsid w:val="000D212C"/>
    <w:rsid w:val="000E3E1B"/>
    <w:rsid w:val="000F6763"/>
    <w:rsid w:val="00160FBF"/>
    <w:rsid w:val="00175EC3"/>
    <w:rsid w:val="00184404"/>
    <w:rsid w:val="0019652A"/>
    <w:rsid w:val="001A3E87"/>
    <w:rsid w:val="001B4FE3"/>
    <w:rsid w:val="001B7016"/>
    <w:rsid w:val="001E664C"/>
    <w:rsid w:val="00202E1D"/>
    <w:rsid w:val="00223719"/>
    <w:rsid w:val="002350AC"/>
    <w:rsid w:val="00260431"/>
    <w:rsid w:val="00277576"/>
    <w:rsid w:val="00293304"/>
    <w:rsid w:val="002A0473"/>
    <w:rsid w:val="002B7054"/>
    <w:rsid w:val="002B74E3"/>
    <w:rsid w:val="002E1CA2"/>
    <w:rsid w:val="00337102"/>
    <w:rsid w:val="003462D2"/>
    <w:rsid w:val="00370887"/>
    <w:rsid w:val="00381903"/>
    <w:rsid w:val="003D3660"/>
    <w:rsid w:val="004027C7"/>
    <w:rsid w:val="00433AB6"/>
    <w:rsid w:val="00435325"/>
    <w:rsid w:val="00455C35"/>
    <w:rsid w:val="004852FA"/>
    <w:rsid w:val="0048652C"/>
    <w:rsid w:val="0049525C"/>
    <w:rsid w:val="004A3759"/>
    <w:rsid w:val="004A45D5"/>
    <w:rsid w:val="004D1BF1"/>
    <w:rsid w:val="004D20D8"/>
    <w:rsid w:val="004D309E"/>
    <w:rsid w:val="004D4A55"/>
    <w:rsid w:val="004D6EB8"/>
    <w:rsid w:val="004D74AF"/>
    <w:rsid w:val="004F7A3D"/>
    <w:rsid w:val="00524FE3"/>
    <w:rsid w:val="00542CD2"/>
    <w:rsid w:val="00544A11"/>
    <w:rsid w:val="00572CD3"/>
    <w:rsid w:val="00580F94"/>
    <w:rsid w:val="005A22D7"/>
    <w:rsid w:val="005B58BB"/>
    <w:rsid w:val="005C0B95"/>
    <w:rsid w:val="005D1797"/>
    <w:rsid w:val="005E1D8B"/>
    <w:rsid w:val="005E77F7"/>
    <w:rsid w:val="00622206"/>
    <w:rsid w:val="0062361D"/>
    <w:rsid w:val="006454DE"/>
    <w:rsid w:val="0065059C"/>
    <w:rsid w:val="00665290"/>
    <w:rsid w:val="006B7EFC"/>
    <w:rsid w:val="006D430C"/>
    <w:rsid w:val="006E55F2"/>
    <w:rsid w:val="00702678"/>
    <w:rsid w:val="00710AE0"/>
    <w:rsid w:val="0072250F"/>
    <w:rsid w:val="007F3A1A"/>
    <w:rsid w:val="008507A2"/>
    <w:rsid w:val="00872003"/>
    <w:rsid w:val="00874429"/>
    <w:rsid w:val="008819E5"/>
    <w:rsid w:val="00891DE9"/>
    <w:rsid w:val="008A29B5"/>
    <w:rsid w:val="008B7806"/>
    <w:rsid w:val="008E4FCE"/>
    <w:rsid w:val="0091493B"/>
    <w:rsid w:val="00943B84"/>
    <w:rsid w:val="00961F33"/>
    <w:rsid w:val="00976BE0"/>
    <w:rsid w:val="0098307B"/>
    <w:rsid w:val="009B0D52"/>
    <w:rsid w:val="009C243B"/>
    <w:rsid w:val="009F39DB"/>
    <w:rsid w:val="00A43DE6"/>
    <w:rsid w:val="00A534FF"/>
    <w:rsid w:val="00A556D6"/>
    <w:rsid w:val="00A57B85"/>
    <w:rsid w:val="00A874E8"/>
    <w:rsid w:val="00AB1D54"/>
    <w:rsid w:val="00AB7829"/>
    <w:rsid w:val="00AD5D1A"/>
    <w:rsid w:val="00B0576B"/>
    <w:rsid w:val="00B261B5"/>
    <w:rsid w:val="00B57D36"/>
    <w:rsid w:val="00B766C8"/>
    <w:rsid w:val="00B95028"/>
    <w:rsid w:val="00BD254B"/>
    <w:rsid w:val="00BE6838"/>
    <w:rsid w:val="00BF2CCD"/>
    <w:rsid w:val="00C131EF"/>
    <w:rsid w:val="00C22F72"/>
    <w:rsid w:val="00C26788"/>
    <w:rsid w:val="00C413CC"/>
    <w:rsid w:val="00C908FE"/>
    <w:rsid w:val="00CB4514"/>
    <w:rsid w:val="00CB6453"/>
    <w:rsid w:val="00CC014B"/>
    <w:rsid w:val="00CD2166"/>
    <w:rsid w:val="00CE2F43"/>
    <w:rsid w:val="00CE6DEA"/>
    <w:rsid w:val="00D05712"/>
    <w:rsid w:val="00D128F1"/>
    <w:rsid w:val="00D20BFE"/>
    <w:rsid w:val="00D42B97"/>
    <w:rsid w:val="00D77895"/>
    <w:rsid w:val="00DE7B3D"/>
    <w:rsid w:val="00DF389C"/>
    <w:rsid w:val="00E1713A"/>
    <w:rsid w:val="00E360A6"/>
    <w:rsid w:val="00E64A3D"/>
    <w:rsid w:val="00E76775"/>
    <w:rsid w:val="00E902C0"/>
    <w:rsid w:val="00E928F3"/>
    <w:rsid w:val="00EA220E"/>
    <w:rsid w:val="00EA5645"/>
    <w:rsid w:val="00EB6D9B"/>
    <w:rsid w:val="00ED6BCB"/>
    <w:rsid w:val="00EF02C4"/>
    <w:rsid w:val="00EF79C0"/>
    <w:rsid w:val="00F14F92"/>
    <w:rsid w:val="00F1682D"/>
    <w:rsid w:val="00F43EAF"/>
    <w:rsid w:val="00F47B96"/>
    <w:rsid w:val="00F55C71"/>
    <w:rsid w:val="00F7745B"/>
    <w:rsid w:val="00F858B1"/>
    <w:rsid w:val="00F86B84"/>
    <w:rsid w:val="00FA31F0"/>
    <w:rsid w:val="00FF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E7677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E767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264">
      <w:bodyDiv w:val="1"/>
      <w:marLeft w:val="0"/>
      <w:marRight w:val="0"/>
      <w:marTop w:val="0"/>
      <w:marBottom w:val="0"/>
      <w:divBdr>
        <w:top w:val="none" w:sz="0" w:space="0" w:color="auto"/>
        <w:left w:val="none" w:sz="0" w:space="0" w:color="auto"/>
        <w:bottom w:val="none" w:sz="0" w:space="0" w:color="auto"/>
        <w:right w:val="none" w:sz="0" w:space="0" w:color="auto"/>
      </w:divBdr>
    </w:div>
    <w:div w:id="565338097">
      <w:bodyDiv w:val="1"/>
      <w:marLeft w:val="0"/>
      <w:marRight w:val="0"/>
      <w:marTop w:val="0"/>
      <w:marBottom w:val="0"/>
      <w:divBdr>
        <w:top w:val="none" w:sz="0" w:space="0" w:color="auto"/>
        <w:left w:val="none" w:sz="0" w:space="0" w:color="auto"/>
        <w:bottom w:val="none" w:sz="0" w:space="0" w:color="auto"/>
        <w:right w:val="none" w:sz="0" w:space="0" w:color="auto"/>
      </w:divBdr>
    </w:div>
    <w:div w:id="8671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E952-FF3A-4531-B0A6-7C52BF58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D0F12AE7</Template>
  <TotalTime>157</TotalTime>
  <Pages>2</Pages>
  <Words>427</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 - Oxford City Council</cp:lastModifiedBy>
  <cp:revision>8</cp:revision>
  <cp:lastPrinted>2015-07-08T10:51:00Z</cp:lastPrinted>
  <dcterms:created xsi:type="dcterms:W3CDTF">2015-07-07T13:52:00Z</dcterms:created>
  <dcterms:modified xsi:type="dcterms:W3CDTF">2015-07-09T14:01:00Z</dcterms:modified>
</cp:coreProperties>
</file>